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29396" w14:textId="1B87E992" w:rsidR="00256020" w:rsidRPr="00BE69A8" w:rsidRDefault="00BE69A8" w:rsidP="00BE69A8">
      <w:pPr>
        <w:jc w:val="center"/>
        <w:rPr>
          <w:b/>
          <w:lang w:val="en-US"/>
        </w:rPr>
      </w:pPr>
      <w:r w:rsidRPr="00BE69A8">
        <w:rPr>
          <w:b/>
          <w:lang w:val="en-US"/>
        </w:rPr>
        <w:t xml:space="preserve">PE Premium </w:t>
      </w:r>
      <w:r w:rsidR="00C54E52">
        <w:rPr>
          <w:b/>
          <w:lang w:val="en-US"/>
        </w:rPr>
        <w:t>Update</w:t>
      </w:r>
      <w:r w:rsidRPr="00BE69A8">
        <w:rPr>
          <w:b/>
          <w:lang w:val="en-US"/>
        </w:rPr>
        <w:t xml:space="preserve"> Notes</w:t>
      </w:r>
      <w:r w:rsidR="00C54E52">
        <w:rPr>
          <w:b/>
          <w:lang w:val="en-US"/>
        </w:rPr>
        <w:t xml:space="preserve"> – November 2022</w:t>
      </w:r>
    </w:p>
    <w:p w14:paraId="4F94AD18" w14:textId="77777777" w:rsidR="00FF23A7" w:rsidRDefault="00FF23A7" w:rsidP="00BE69A8">
      <w:pPr>
        <w:rPr>
          <w:b/>
          <w:lang w:val="en-US"/>
        </w:rPr>
      </w:pPr>
    </w:p>
    <w:p w14:paraId="15C15620" w14:textId="77777777" w:rsidR="00BE69A8" w:rsidRPr="00B70FCC" w:rsidRDefault="00FF23A7" w:rsidP="00BE69A8">
      <w:pPr>
        <w:rPr>
          <w:b/>
          <w:u w:val="single"/>
          <w:lang w:val="en-US"/>
        </w:rPr>
      </w:pPr>
      <w:r w:rsidRPr="00B70FCC">
        <w:rPr>
          <w:b/>
          <w:u w:val="single"/>
          <w:lang w:val="en-US"/>
        </w:rPr>
        <w:t xml:space="preserve">Introduction </w:t>
      </w:r>
    </w:p>
    <w:p w14:paraId="3511CC63" w14:textId="55C9EEEF" w:rsidR="00FF23A7" w:rsidRPr="00BE69A8" w:rsidRDefault="00FF23A7" w:rsidP="00FF23A7">
      <w:pPr>
        <w:rPr>
          <w:lang w:val="en-US"/>
        </w:rPr>
      </w:pPr>
      <w:r>
        <w:rPr>
          <w:lang w:val="en-US"/>
        </w:rPr>
        <w:t>The guidance for this year has been relatively unchanged</w:t>
      </w:r>
      <w:r w:rsidR="00755333">
        <w:rPr>
          <w:lang w:val="en-US"/>
        </w:rPr>
        <w:t>.</w:t>
      </w:r>
    </w:p>
    <w:p w14:paraId="06DAC5BD" w14:textId="77777777" w:rsidR="00FF23A7" w:rsidRPr="00FF23A7" w:rsidRDefault="00FF23A7" w:rsidP="00FF23A7">
      <w:r w:rsidRPr="00FF23A7">
        <w:t xml:space="preserve">There has been a release from the DfE that underspend from the academic year 2021-22 must be returned to the DfE. Your headteacher should have received communication about this from DfE. </w:t>
      </w:r>
    </w:p>
    <w:p w14:paraId="11E099FC" w14:textId="77777777" w:rsidR="00FF23A7" w:rsidRDefault="00FF23A7" w:rsidP="00BE69A8">
      <w:pPr>
        <w:rPr>
          <w:lang w:val="en-US"/>
        </w:rPr>
      </w:pPr>
      <w:r>
        <w:rPr>
          <w:lang w:val="en-US"/>
        </w:rPr>
        <w:t xml:space="preserve">The future of PE premium is a huge unknown. With the changes in government and savings that they need to make, we are asking school to consider what happens if the PE premium were to be cut next year. </w:t>
      </w:r>
    </w:p>
    <w:p w14:paraId="70802678" w14:textId="77777777" w:rsidR="00FF23A7" w:rsidRDefault="00FF23A7" w:rsidP="00BE69A8">
      <w:pPr>
        <w:rPr>
          <w:lang w:val="en-US"/>
        </w:rPr>
      </w:pPr>
    </w:p>
    <w:p w14:paraId="7F50C632" w14:textId="77777777" w:rsidR="00BE69A8" w:rsidRPr="00BE69A8" w:rsidRDefault="00BE69A8" w:rsidP="00BE69A8">
      <w:pPr>
        <w:spacing w:before="120" w:after="240" w:line="240" w:lineRule="auto"/>
        <w:rPr>
          <w:rFonts w:cstheme="minorHAnsi"/>
        </w:rPr>
      </w:pPr>
      <w:r w:rsidRPr="00BE69A8">
        <w:rPr>
          <w:rFonts w:cstheme="minorHAnsi"/>
          <w:b/>
          <w:color w:val="00B050"/>
          <w:u w:val="single"/>
        </w:rPr>
        <w:t xml:space="preserve">The purpose: </w:t>
      </w:r>
      <w:r w:rsidRPr="00BE69A8">
        <w:rPr>
          <w:rFonts w:cstheme="minorHAnsi"/>
          <w:color w:val="00B050"/>
        </w:rPr>
        <w:t xml:space="preserve">The premium must be used to fund additional and sustainable improvements to the provision of PE and sport, for the benefit of primary-aged pupils, in the 2022 to 2023 academic year, to </w:t>
      </w:r>
      <w:r w:rsidRPr="00BE69A8">
        <w:rPr>
          <w:rFonts w:cstheme="minorHAnsi"/>
          <w:b/>
          <w:color w:val="00B050"/>
        </w:rPr>
        <w:t>encourage the development of healthy, active lifestyles.</w:t>
      </w:r>
    </w:p>
    <w:p w14:paraId="58D06F10" w14:textId="77777777" w:rsidR="00BE69A8" w:rsidRPr="007137BC" w:rsidRDefault="00BE69A8" w:rsidP="00BE69A8">
      <w:pPr>
        <w:spacing w:before="120" w:after="240" w:line="240" w:lineRule="auto"/>
        <w:rPr>
          <w:rFonts w:cstheme="minorHAnsi"/>
        </w:rPr>
      </w:pPr>
      <w:r>
        <w:rPr>
          <w:rFonts w:cstheme="minorHAnsi"/>
        </w:rPr>
        <w:t xml:space="preserve">Changed from: </w:t>
      </w:r>
      <w:r w:rsidRPr="007137BC">
        <w:rPr>
          <w:rFonts w:cstheme="minorHAnsi"/>
        </w:rPr>
        <w:t xml:space="preserve">The premium must be used to fund additional and sustainable improvements to the provision of PE, physical activity and sport. </w:t>
      </w:r>
    </w:p>
    <w:p w14:paraId="4F419F3D" w14:textId="3190E473" w:rsidR="00BE69A8" w:rsidRPr="005F4D02" w:rsidRDefault="00755333" w:rsidP="00BE69A8">
      <w:pPr>
        <w:spacing w:before="120" w:after="240" w:line="240" w:lineRule="auto"/>
        <w:rPr>
          <w:rFonts w:cstheme="minorHAnsi"/>
          <w:bCs/>
          <w:szCs w:val="21"/>
        </w:rPr>
      </w:pPr>
      <w:r w:rsidRPr="005F4D02">
        <w:rPr>
          <w:rFonts w:cstheme="minorHAnsi"/>
          <w:bCs/>
          <w:szCs w:val="21"/>
        </w:rPr>
        <w:t>Please note the new emphasis on healthy, active lifestyles. This could include things such as active travel and active lessons</w:t>
      </w:r>
      <w:r w:rsidR="005F4D02" w:rsidRPr="005F4D02">
        <w:rPr>
          <w:rFonts w:cstheme="minorHAnsi"/>
          <w:bCs/>
          <w:szCs w:val="21"/>
        </w:rPr>
        <w:t>.</w:t>
      </w:r>
      <w:r w:rsidR="005F4D02">
        <w:rPr>
          <w:rFonts w:cstheme="minorHAnsi"/>
          <w:bCs/>
          <w:szCs w:val="21"/>
        </w:rPr>
        <w:br/>
      </w:r>
    </w:p>
    <w:p w14:paraId="2386CC9D" w14:textId="77777777" w:rsidR="00BE69A8" w:rsidRDefault="00BE69A8" w:rsidP="00BE69A8">
      <w:pPr>
        <w:spacing w:before="120" w:after="240" w:line="240" w:lineRule="auto"/>
        <w:rPr>
          <w:rFonts w:cstheme="minorHAnsi"/>
        </w:rPr>
      </w:pPr>
      <w:r w:rsidRPr="00BE69A8">
        <w:rPr>
          <w:rFonts w:cstheme="minorHAnsi"/>
          <w:b/>
          <w:u w:val="single"/>
        </w:rPr>
        <w:t>The amount</w:t>
      </w:r>
      <w:r>
        <w:rPr>
          <w:rFonts w:cstheme="minorHAnsi"/>
          <w:b/>
          <w:u w:val="single"/>
        </w:rPr>
        <w:t xml:space="preserve">: </w:t>
      </w:r>
      <w:r w:rsidRPr="004E03E9">
        <w:rPr>
          <w:rFonts w:cstheme="minorHAnsi"/>
        </w:rPr>
        <w:t xml:space="preserve">All eligible schools will receive </w:t>
      </w:r>
      <w:r w:rsidRPr="004E03E9">
        <w:rPr>
          <w:rFonts w:cstheme="minorHAnsi"/>
          <w:b/>
        </w:rPr>
        <w:t>£16000 + £10 per pupil in years 1-6</w:t>
      </w:r>
      <w:r w:rsidRPr="004E03E9">
        <w:rPr>
          <w:rFonts w:cstheme="minorHAnsi"/>
        </w:rPr>
        <w:t xml:space="preserve"> </w:t>
      </w:r>
    </w:p>
    <w:p w14:paraId="05647AA1" w14:textId="77777777" w:rsidR="00BE69A8" w:rsidRPr="004E03E9" w:rsidRDefault="00BE69A8" w:rsidP="00BE69A8">
      <w:pPr>
        <w:spacing w:before="120" w:after="240" w:line="240" w:lineRule="auto"/>
        <w:rPr>
          <w:rFonts w:cstheme="minorHAnsi"/>
        </w:rPr>
      </w:pPr>
      <w:r w:rsidRPr="00BE69A8">
        <w:rPr>
          <w:rFonts w:cstheme="minorHAnsi"/>
          <w:b/>
          <w:u w:val="single"/>
        </w:rPr>
        <w:t>Payment Dates:</w:t>
      </w:r>
      <w:r>
        <w:rPr>
          <w:rFonts w:cstheme="minorHAnsi"/>
        </w:rPr>
        <w:t xml:space="preserve"> </w:t>
      </w:r>
      <w:r>
        <w:rPr>
          <w:rFonts w:cstheme="minorHAnsi"/>
        </w:rPr>
        <w:br/>
        <w:t>Maintained schools: 31</w:t>
      </w:r>
      <w:r w:rsidRPr="00BE69A8">
        <w:rPr>
          <w:rFonts w:cstheme="minorHAnsi"/>
          <w:vertAlign w:val="superscript"/>
        </w:rPr>
        <w:t>st</w:t>
      </w:r>
      <w:r>
        <w:rPr>
          <w:rFonts w:cstheme="minorHAnsi"/>
        </w:rPr>
        <w:t xml:space="preserve"> October and 28</w:t>
      </w:r>
      <w:r w:rsidRPr="00BE69A8">
        <w:rPr>
          <w:rFonts w:cstheme="minorHAnsi"/>
          <w:vertAlign w:val="superscript"/>
        </w:rPr>
        <w:t>th</w:t>
      </w:r>
      <w:r>
        <w:rPr>
          <w:rFonts w:cstheme="minorHAnsi"/>
        </w:rPr>
        <w:t xml:space="preserve"> April </w:t>
      </w:r>
      <w:r>
        <w:rPr>
          <w:rFonts w:cstheme="minorHAnsi"/>
        </w:rPr>
        <w:br/>
        <w:t>Academies and free schools: 8</w:t>
      </w:r>
      <w:r w:rsidRPr="00BE69A8">
        <w:rPr>
          <w:rFonts w:cstheme="minorHAnsi"/>
          <w:vertAlign w:val="superscript"/>
        </w:rPr>
        <w:t>th</w:t>
      </w:r>
      <w:r>
        <w:rPr>
          <w:rFonts w:cstheme="minorHAnsi"/>
        </w:rPr>
        <w:t xml:space="preserve"> Nov and 9</w:t>
      </w:r>
      <w:r w:rsidRPr="00BE69A8">
        <w:rPr>
          <w:rFonts w:cstheme="minorHAnsi"/>
          <w:vertAlign w:val="superscript"/>
        </w:rPr>
        <w:t>th</w:t>
      </w:r>
      <w:r>
        <w:rPr>
          <w:rFonts w:cstheme="minorHAnsi"/>
        </w:rPr>
        <w:t xml:space="preserve"> May</w:t>
      </w:r>
    </w:p>
    <w:p w14:paraId="7AC132EC" w14:textId="77777777" w:rsidR="00BE69A8" w:rsidRPr="004D2F91" w:rsidRDefault="00BE69A8" w:rsidP="00BE69A8">
      <w:pPr>
        <w:spacing w:before="120" w:after="240" w:line="240" w:lineRule="auto"/>
        <w:rPr>
          <w:rFonts w:cstheme="minorHAnsi"/>
          <w:b/>
          <w:color w:val="00B050"/>
        </w:rPr>
      </w:pPr>
      <w:r w:rsidRPr="004D2F91">
        <w:rPr>
          <w:rFonts w:cstheme="minorHAnsi"/>
          <w:b/>
          <w:color w:val="00B050"/>
        </w:rPr>
        <w:t>The premium must be spent in full by the 31 of July 2023.</w:t>
      </w:r>
    </w:p>
    <w:p w14:paraId="60CB9007" w14:textId="77777777" w:rsidR="00BE69A8" w:rsidRDefault="00BE69A8" w:rsidP="00BE69A8">
      <w:pPr>
        <w:spacing w:before="120" w:after="240" w:line="240" w:lineRule="auto"/>
        <w:rPr>
          <w:rFonts w:cstheme="minorHAnsi"/>
          <w:b/>
        </w:rPr>
      </w:pPr>
    </w:p>
    <w:p w14:paraId="7C6145F7" w14:textId="77777777" w:rsidR="00BE69A8" w:rsidRDefault="00BE69A8" w:rsidP="00BE69A8">
      <w:pPr>
        <w:spacing w:before="120" w:after="240" w:line="240" w:lineRule="auto"/>
        <w:rPr>
          <w:rFonts w:cstheme="minorHAnsi"/>
          <w:b/>
        </w:rPr>
      </w:pPr>
      <w:r w:rsidRPr="00BE69A8">
        <w:rPr>
          <w:rFonts w:cstheme="minorHAnsi"/>
          <w:b/>
          <w:u w:val="single"/>
        </w:rPr>
        <w:t>How and on what to use your funding</w:t>
      </w:r>
      <w:r w:rsidRPr="007137BC">
        <w:rPr>
          <w:rFonts w:cstheme="minorHAnsi"/>
          <w:b/>
          <w:u w:val="single"/>
        </w:rPr>
        <w:br/>
      </w:r>
      <w:r>
        <w:rPr>
          <w:rFonts w:cstheme="minorHAnsi"/>
        </w:rPr>
        <w:br/>
      </w:r>
      <w:r w:rsidRPr="004D2F91">
        <w:rPr>
          <w:rFonts w:cstheme="minorHAnsi"/>
        </w:rPr>
        <w:t>The premium must be used to fund additional and sustainable improvements to the provision of PE</w:t>
      </w:r>
      <w:r>
        <w:rPr>
          <w:rFonts w:cstheme="minorHAnsi"/>
        </w:rPr>
        <w:t xml:space="preserve">, </w:t>
      </w:r>
      <w:r w:rsidRPr="004D2F91">
        <w:rPr>
          <w:rFonts w:cstheme="minorHAnsi"/>
        </w:rPr>
        <w:t>sport</w:t>
      </w:r>
      <w:r>
        <w:rPr>
          <w:rFonts w:cstheme="minorHAnsi"/>
        </w:rPr>
        <w:t xml:space="preserve"> and physical activity </w:t>
      </w:r>
      <w:r w:rsidRPr="004D2F91">
        <w:rPr>
          <w:rFonts w:cstheme="minorHAnsi"/>
        </w:rPr>
        <w:t>the</w:t>
      </w:r>
      <w:r>
        <w:rPr>
          <w:rFonts w:cstheme="minorHAnsi"/>
        </w:rPr>
        <w:t xml:space="preserve">y provide. </w:t>
      </w:r>
    </w:p>
    <w:p w14:paraId="3AC60460" w14:textId="77777777" w:rsidR="00BE69A8" w:rsidRPr="007137BC" w:rsidRDefault="00FF23A7" w:rsidP="00BE69A8">
      <w:pPr>
        <w:spacing w:before="120" w:after="240" w:line="240" w:lineRule="auto"/>
        <w:rPr>
          <w:rFonts w:cstheme="minorHAnsi"/>
          <w:b/>
        </w:rPr>
      </w:pPr>
      <w:r>
        <w:rPr>
          <w:rFonts w:cstheme="minorHAnsi"/>
          <w:b/>
        </w:rPr>
        <w:t>Y</w:t>
      </w:r>
      <w:r w:rsidR="00BE69A8" w:rsidRPr="007137BC">
        <w:rPr>
          <w:rFonts w:cstheme="minorHAnsi"/>
          <w:b/>
        </w:rPr>
        <w:t xml:space="preserve">ou </w:t>
      </w:r>
      <w:r>
        <w:rPr>
          <w:rFonts w:cstheme="minorHAnsi"/>
          <w:b/>
        </w:rPr>
        <w:t>can</w:t>
      </w:r>
      <w:r w:rsidR="00BE69A8" w:rsidRPr="007137BC">
        <w:rPr>
          <w:rFonts w:cstheme="minorHAnsi"/>
          <w:b/>
        </w:rPr>
        <w:t xml:space="preserve"> use the premium to:</w:t>
      </w:r>
    </w:p>
    <w:p w14:paraId="59A2A33A" w14:textId="77777777" w:rsidR="00BE69A8" w:rsidRPr="007137BC" w:rsidRDefault="00BE69A8" w:rsidP="00BE69A8">
      <w:pPr>
        <w:pStyle w:val="ListParagraph"/>
        <w:numPr>
          <w:ilvl w:val="0"/>
          <w:numId w:val="3"/>
        </w:numPr>
        <w:spacing w:before="120" w:after="240" w:line="240" w:lineRule="auto"/>
        <w:rPr>
          <w:rFonts w:cstheme="minorHAnsi"/>
        </w:rPr>
      </w:pPr>
      <w:r w:rsidRPr="007137BC">
        <w:rPr>
          <w:rFonts w:cstheme="minorHAnsi"/>
        </w:rPr>
        <w:t>develop or add to the PE, physical activity and sport activities that your school provides</w:t>
      </w:r>
    </w:p>
    <w:p w14:paraId="4F5CC56E" w14:textId="77777777" w:rsidR="00BE69A8" w:rsidRDefault="00BE69A8" w:rsidP="00BE69A8">
      <w:pPr>
        <w:pStyle w:val="ListParagraph"/>
        <w:numPr>
          <w:ilvl w:val="0"/>
          <w:numId w:val="3"/>
        </w:numPr>
        <w:spacing w:before="120" w:after="240" w:line="240" w:lineRule="auto"/>
        <w:rPr>
          <w:rFonts w:cstheme="minorHAnsi"/>
        </w:rPr>
      </w:pPr>
      <w:r w:rsidRPr="007137BC">
        <w:rPr>
          <w:rFonts w:cstheme="minorHAnsi"/>
        </w:rPr>
        <w:t>build capacity and capability within the school to ensure that improvements made now will benefit pupils joining the school in future years</w:t>
      </w:r>
    </w:p>
    <w:p w14:paraId="350EF33D" w14:textId="77777777" w:rsidR="00BE69A8" w:rsidRPr="007137BC" w:rsidRDefault="00BE69A8" w:rsidP="00BE69A8">
      <w:pPr>
        <w:spacing w:before="120" w:after="240" w:line="240" w:lineRule="auto"/>
        <w:rPr>
          <w:rFonts w:cstheme="minorHAnsi"/>
          <w:b/>
        </w:rPr>
      </w:pPr>
      <w:r w:rsidRPr="007137BC">
        <w:rPr>
          <w:rFonts w:cstheme="minorHAnsi"/>
          <w:b/>
        </w:rPr>
        <w:t xml:space="preserve">You </w:t>
      </w:r>
      <w:r w:rsidR="00FF23A7">
        <w:rPr>
          <w:rFonts w:cstheme="minorHAnsi"/>
          <w:b/>
        </w:rPr>
        <w:t>cannot</w:t>
      </w:r>
      <w:r w:rsidRPr="007137BC">
        <w:rPr>
          <w:rFonts w:cstheme="minorHAnsi"/>
          <w:b/>
        </w:rPr>
        <w:t xml:space="preserve"> use your funding to:</w:t>
      </w:r>
    </w:p>
    <w:p w14:paraId="199642AE" w14:textId="77777777" w:rsidR="00BE69A8" w:rsidRPr="007137BC" w:rsidRDefault="00BE69A8" w:rsidP="00BE69A8">
      <w:pPr>
        <w:pStyle w:val="ListParagraph"/>
        <w:numPr>
          <w:ilvl w:val="0"/>
          <w:numId w:val="4"/>
        </w:numPr>
        <w:spacing w:before="120" w:after="240" w:line="240" w:lineRule="auto"/>
        <w:rPr>
          <w:rFonts w:cstheme="minorHAnsi"/>
        </w:rPr>
      </w:pPr>
      <w:r w:rsidRPr="007137BC">
        <w:rPr>
          <w:rFonts w:cstheme="minorHAnsi"/>
        </w:rPr>
        <w:t>employ coaches or specialist teachers to cover planning preparation and assessment (PPA) arrangements - these should come out of your core staffing budgets</w:t>
      </w:r>
    </w:p>
    <w:p w14:paraId="3488C6AF" w14:textId="77777777" w:rsidR="00BE69A8" w:rsidRPr="004E03E9" w:rsidRDefault="00BE69A8" w:rsidP="00BE69A8">
      <w:pPr>
        <w:pStyle w:val="ListParagraph"/>
        <w:numPr>
          <w:ilvl w:val="0"/>
          <w:numId w:val="4"/>
        </w:numPr>
        <w:spacing w:before="120" w:after="240" w:line="240" w:lineRule="auto"/>
        <w:rPr>
          <w:rFonts w:cstheme="minorHAnsi"/>
        </w:rPr>
      </w:pPr>
      <w:r w:rsidRPr="007137BC">
        <w:rPr>
          <w:rFonts w:cstheme="minorHAnsi"/>
        </w:rPr>
        <w:t xml:space="preserve">teach the minimum requirements of your existing national curriculum – with the exception of top-up swimming lessons after pupils’ completion of core lessons (or, in the case of academies and free schools, to teach your existing </w:t>
      </w:r>
      <w:r w:rsidRPr="004E03E9">
        <w:rPr>
          <w:rFonts w:cstheme="minorHAnsi"/>
        </w:rPr>
        <w:t>PE curriculum)</w:t>
      </w:r>
    </w:p>
    <w:p w14:paraId="7E3AE743" w14:textId="77777777" w:rsidR="00BE69A8" w:rsidRPr="00627B0C" w:rsidRDefault="00BE69A8" w:rsidP="00BE69A8">
      <w:pPr>
        <w:pStyle w:val="ListParagraph"/>
        <w:numPr>
          <w:ilvl w:val="0"/>
          <w:numId w:val="4"/>
        </w:numPr>
        <w:spacing w:before="120" w:after="240" w:line="240" w:lineRule="auto"/>
        <w:rPr>
          <w:rFonts w:cstheme="minorHAnsi"/>
        </w:rPr>
      </w:pPr>
      <w:r w:rsidRPr="00627B0C">
        <w:rPr>
          <w:rFonts w:cstheme="minorHAnsi"/>
        </w:rPr>
        <w:t xml:space="preserve">fund capital expenditure </w:t>
      </w:r>
    </w:p>
    <w:p w14:paraId="34C6DE51" w14:textId="77777777" w:rsidR="00BE69A8" w:rsidRPr="00FF23A7" w:rsidRDefault="00FF23A7" w:rsidP="00BE69A8">
      <w:pPr>
        <w:spacing w:before="120" w:after="240" w:line="240" w:lineRule="auto"/>
        <w:rPr>
          <w:rFonts w:cstheme="minorHAnsi"/>
          <w:b/>
          <w:color w:val="00B050"/>
          <w:u w:val="single"/>
        </w:rPr>
      </w:pPr>
      <w:r w:rsidRPr="00FF23A7">
        <w:rPr>
          <w:rFonts w:cstheme="minorHAnsi"/>
          <w:b/>
          <w:color w:val="00B050"/>
          <w:u w:val="single"/>
        </w:rPr>
        <w:t xml:space="preserve">New for this year: </w:t>
      </w:r>
      <w:r w:rsidR="00BE69A8" w:rsidRPr="00FF23A7">
        <w:rPr>
          <w:rFonts w:cstheme="minorHAnsi"/>
          <w:b/>
          <w:color w:val="00B050"/>
          <w:u w:val="single"/>
        </w:rPr>
        <w:t>Capital expenditure</w:t>
      </w:r>
      <w:r w:rsidRPr="00FF23A7">
        <w:rPr>
          <w:rFonts w:cstheme="minorHAnsi"/>
          <w:b/>
          <w:color w:val="00B050"/>
          <w:u w:val="single"/>
        </w:rPr>
        <w:t xml:space="preserve"> – wording in the guidance</w:t>
      </w:r>
    </w:p>
    <w:p w14:paraId="4C4B8F55" w14:textId="77777777" w:rsidR="00BE69A8" w:rsidRPr="002838C2" w:rsidRDefault="00BE69A8" w:rsidP="00BE69A8">
      <w:pPr>
        <w:spacing w:before="120" w:after="240" w:line="240" w:lineRule="auto"/>
        <w:rPr>
          <w:rFonts w:cstheme="minorHAnsi"/>
          <w:color w:val="00B050"/>
        </w:rPr>
      </w:pPr>
      <w:r w:rsidRPr="002838C2">
        <w:rPr>
          <w:rFonts w:cstheme="minorHAnsi"/>
          <w:color w:val="00B050"/>
        </w:rPr>
        <w:t>Where schools have an existing capitalisation policy, you should use this policy to determine whether proposed spending would be considered to be capital expenditure.</w:t>
      </w:r>
    </w:p>
    <w:p w14:paraId="09C69BC7" w14:textId="77777777" w:rsidR="00BE69A8" w:rsidRPr="002838C2" w:rsidRDefault="00BE69A8" w:rsidP="00BE69A8">
      <w:pPr>
        <w:spacing w:before="120" w:after="240" w:line="240" w:lineRule="auto"/>
        <w:rPr>
          <w:rFonts w:cstheme="minorHAnsi"/>
          <w:color w:val="00B050"/>
        </w:rPr>
      </w:pPr>
      <w:r w:rsidRPr="002838C2">
        <w:rPr>
          <w:rFonts w:cstheme="minorHAnsi"/>
          <w:color w:val="00B050"/>
        </w:rPr>
        <w:lastRenderedPageBreak/>
        <w:t>If a school does not have a capitalisation policy it remains for them to determine what qualifies as capital, but you might wish to use the following resources:</w:t>
      </w:r>
    </w:p>
    <w:p w14:paraId="2352EA5A" w14:textId="77777777" w:rsidR="00BE69A8" w:rsidRPr="002838C2" w:rsidRDefault="00BE69A8" w:rsidP="00BE69A8">
      <w:pPr>
        <w:pStyle w:val="ListParagraph"/>
        <w:numPr>
          <w:ilvl w:val="0"/>
          <w:numId w:val="11"/>
        </w:numPr>
        <w:spacing w:before="120" w:after="240" w:line="240" w:lineRule="auto"/>
        <w:rPr>
          <w:rFonts w:cstheme="minorHAnsi"/>
          <w:color w:val="00B050"/>
        </w:rPr>
      </w:pPr>
      <w:r w:rsidRPr="002838C2">
        <w:rPr>
          <w:rFonts w:cstheme="minorHAnsi"/>
          <w:color w:val="00B050"/>
        </w:rPr>
        <w:t>local-authority-maintained schools: consistent financial reporting framework: capital expenditure</w:t>
      </w:r>
    </w:p>
    <w:p w14:paraId="3EF535FE" w14:textId="77777777" w:rsidR="00BE69A8" w:rsidRPr="002838C2" w:rsidRDefault="00BE69A8" w:rsidP="00BE69A8">
      <w:pPr>
        <w:pStyle w:val="ListParagraph"/>
        <w:numPr>
          <w:ilvl w:val="0"/>
          <w:numId w:val="11"/>
        </w:numPr>
        <w:spacing w:before="120" w:after="240" w:line="240" w:lineRule="auto"/>
        <w:rPr>
          <w:rFonts w:cstheme="minorHAnsi"/>
          <w:color w:val="00B050"/>
        </w:rPr>
      </w:pPr>
      <w:r w:rsidRPr="002838C2">
        <w:rPr>
          <w:rFonts w:cstheme="minorHAnsi"/>
          <w:color w:val="00B050"/>
        </w:rPr>
        <w:t>academies: capital expenditure is defined in the academies handbook as: “capital assets or funding are those from which an entity expects to derive benefit for more than one year: typically land, buildings, vehicles and information technology. They are usually called fixed assets.”</w:t>
      </w:r>
    </w:p>
    <w:p w14:paraId="60252D0F" w14:textId="77777777" w:rsidR="00BE69A8" w:rsidRPr="002838C2" w:rsidRDefault="00BE69A8" w:rsidP="00BE69A8">
      <w:pPr>
        <w:spacing w:before="120" w:after="240" w:line="240" w:lineRule="auto"/>
        <w:rPr>
          <w:rFonts w:cstheme="minorHAnsi"/>
          <w:color w:val="00B050"/>
        </w:rPr>
      </w:pPr>
      <w:r w:rsidRPr="002838C2">
        <w:rPr>
          <w:rFonts w:cstheme="minorHAnsi"/>
          <w:color w:val="00B050"/>
        </w:rPr>
        <w:t>Small purchases should not be capitalised. Your school or trust should determine an appropriate (de minimis) value, below which transactions should be charged to revenue.</w:t>
      </w:r>
    </w:p>
    <w:p w14:paraId="0D3E85D9" w14:textId="77777777" w:rsidR="00BE69A8" w:rsidRDefault="00BE69A8" w:rsidP="00BE69A8">
      <w:pPr>
        <w:spacing w:before="120" w:after="240" w:line="240" w:lineRule="auto"/>
        <w:rPr>
          <w:rFonts w:cstheme="minorHAnsi"/>
          <w:b/>
          <w:color w:val="00B050"/>
        </w:rPr>
      </w:pPr>
    </w:p>
    <w:p w14:paraId="32A190CD" w14:textId="77777777" w:rsidR="00BE69A8" w:rsidRPr="00FF23A7" w:rsidRDefault="00FF23A7" w:rsidP="00BE69A8">
      <w:pPr>
        <w:spacing w:before="120" w:after="240" w:line="240" w:lineRule="auto"/>
        <w:rPr>
          <w:rFonts w:cstheme="minorHAnsi"/>
          <w:b/>
          <w:color w:val="00B050"/>
          <w:u w:val="single"/>
        </w:rPr>
      </w:pPr>
      <w:r w:rsidRPr="00FF23A7">
        <w:rPr>
          <w:rFonts w:cstheme="minorHAnsi"/>
          <w:b/>
          <w:color w:val="00B050"/>
          <w:u w:val="single"/>
        </w:rPr>
        <w:t xml:space="preserve">New for this year: </w:t>
      </w:r>
      <w:r w:rsidR="00BE69A8" w:rsidRPr="00FF23A7">
        <w:rPr>
          <w:rFonts w:cstheme="minorHAnsi"/>
          <w:b/>
          <w:color w:val="00B050"/>
          <w:u w:val="single"/>
        </w:rPr>
        <w:t>Sustainable improvement</w:t>
      </w:r>
      <w:r w:rsidRPr="00FF23A7">
        <w:rPr>
          <w:rFonts w:cstheme="minorHAnsi"/>
          <w:b/>
          <w:color w:val="00B050"/>
          <w:u w:val="single"/>
        </w:rPr>
        <w:t xml:space="preserve"> – a focus throughout the guidance</w:t>
      </w:r>
    </w:p>
    <w:p w14:paraId="7B3CE06F" w14:textId="77777777" w:rsidR="00BE69A8" w:rsidRPr="002838C2" w:rsidRDefault="00BE69A8" w:rsidP="00BE69A8">
      <w:pPr>
        <w:spacing w:before="120" w:after="240" w:line="240" w:lineRule="auto"/>
        <w:rPr>
          <w:rFonts w:cstheme="minorHAnsi"/>
          <w:color w:val="00B050"/>
        </w:rPr>
      </w:pPr>
      <w:r w:rsidRPr="002838C2">
        <w:rPr>
          <w:rFonts w:cstheme="minorHAnsi"/>
          <w:color w:val="00B050"/>
        </w:rPr>
        <w:t>Making sustainable improvements should be considered as a priority. This is often achieved through developing and investing in the knowledge and skills of the teaching staff and other school staff who may have involvement in supporting a lasting change to the school’s approach to physical activity, curriculum PE or provision of school sport.</w:t>
      </w:r>
    </w:p>
    <w:p w14:paraId="697B0BF7" w14:textId="77777777" w:rsidR="00BE69A8" w:rsidRDefault="00BE69A8" w:rsidP="00BE69A8">
      <w:pPr>
        <w:spacing w:before="120" w:after="240" w:line="240" w:lineRule="auto"/>
        <w:rPr>
          <w:rFonts w:cstheme="minorHAnsi"/>
        </w:rPr>
      </w:pPr>
    </w:p>
    <w:p w14:paraId="3086F67F" w14:textId="77777777" w:rsidR="00BE69A8" w:rsidRDefault="00BE69A8" w:rsidP="00BE69A8">
      <w:pPr>
        <w:spacing w:before="120" w:after="240" w:line="240" w:lineRule="auto"/>
        <w:rPr>
          <w:rFonts w:cstheme="minorHAnsi"/>
        </w:rPr>
      </w:pPr>
      <w:r>
        <w:rPr>
          <w:rFonts w:cstheme="minorHAnsi"/>
        </w:rPr>
        <w:t xml:space="preserve">The Key indicators have remained the same: </w:t>
      </w:r>
    </w:p>
    <w:p w14:paraId="44AB31F7" w14:textId="77777777" w:rsidR="00BE69A8" w:rsidRPr="007137BC" w:rsidRDefault="00BE69A8" w:rsidP="00BE69A8">
      <w:pPr>
        <w:spacing w:before="120" w:after="240" w:line="240" w:lineRule="auto"/>
        <w:rPr>
          <w:rFonts w:cstheme="minorHAnsi"/>
        </w:rPr>
      </w:pPr>
      <w:r w:rsidRPr="007137BC">
        <w:rPr>
          <w:rFonts w:cstheme="minorHAnsi"/>
          <w:b/>
        </w:rPr>
        <w:t xml:space="preserve">Key Indicator 1: Engagement of all pupils in regular physical activity </w:t>
      </w:r>
      <w:r w:rsidRPr="007137BC">
        <w:rPr>
          <w:rFonts w:cstheme="minorHAnsi"/>
        </w:rPr>
        <w:t>- recommend</w:t>
      </w:r>
      <w:r w:rsidR="00FF23A7">
        <w:rPr>
          <w:rFonts w:cstheme="minorHAnsi"/>
        </w:rPr>
        <w:t>ed</w:t>
      </w:r>
      <w:r w:rsidRPr="007137BC">
        <w:rPr>
          <w:rFonts w:cstheme="minorHAnsi"/>
        </w:rPr>
        <w:t xml:space="preserve"> that all young people aged 5 to 18 engage in at least 60 minutes of physical activity a day, of which 30 minutes should be in school. </w:t>
      </w:r>
    </w:p>
    <w:p w14:paraId="76A8A3AC" w14:textId="77777777" w:rsidR="00BE69A8" w:rsidRPr="007137BC" w:rsidRDefault="00BE69A8" w:rsidP="00BE69A8">
      <w:pPr>
        <w:spacing w:before="120" w:after="240" w:line="240" w:lineRule="auto"/>
        <w:rPr>
          <w:rFonts w:cstheme="minorHAnsi"/>
          <w:b/>
        </w:rPr>
      </w:pPr>
      <w:r w:rsidRPr="007137BC">
        <w:rPr>
          <w:rFonts w:cstheme="minorHAnsi"/>
          <w:b/>
        </w:rPr>
        <w:t>Key Indicator 2: Profile of PE and sport is raised across the school as a tool for whole-school improvement</w:t>
      </w:r>
    </w:p>
    <w:p w14:paraId="3E9C009C" w14:textId="77777777" w:rsidR="00BE69A8" w:rsidRPr="007137BC" w:rsidRDefault="00BE69A8" w:rsidP="00BE69A8">
      <w:pPr>
        <w:spacing w:before="120" w:after="240" w:line="240" w:lineRule="auto"/>
        <w:rPr>
          <w:rFonts w:cstheme="minorHAnsi"/>
          <w:b/>
        </w:rPr>
      </w:pPr>
      <w:r w:rsidRPr="007137BC">
        <w:rPr>
          <w:rFonts w:cstheme="minorHAnsi"/>
          <w:b/>
        </w:rPr>
        <w:t>Key Indicator 3: Increased confidence, knowledge and skills of all staff in teaching PE and sport</w:t>
      </w:r>
    </w:p>
    <w:p w14:paraId="01D035B8" w14:textId="77777777" w:rsidR="00BE69A8" w:rsidRPr="007137BC" w:rsidRDefault="00BE69A8" w:rsidP="00BE69A8">
      <w:pPr>
        <w:spacing w:before="120" w:after="240" w:line="240" w:lineRule="auto"/>
        <w:rPr>
          <w:rFonts w:cstheme="minorHAnsi"/>
          <w:b/>
        </w:rPr>
      </w:pPr>
      <w:r w:rsidRPr="007137BC">
        <w:rPr>
          <w:rFonts w:cstheme="minorHAnsi"/>
          <w:b/>
        </w:rPr>
        <w:t>Key Indicator 4: Broader experience of a range of sports and activities offered to all pupils</w:t>
      </w:r>
    </w:p>
    <w:p w14:paraId="2BA98D8A" w14:textId="77777777" w:rsidR="00BE69A8" w:rsidRPr="007137BC" w:rsidRDefault="00BE69A8" w:rsidP="00BE69A8">
      <w:pPr>
        <w:spacing w:before="120" w:after="240" w:line="240" w:lineRule="auto"/>
        <w:rPr>
          <w:rFonts w:cstheme="minorHAnsi"/>
          <w:b/>
        </w:rPr>
      </w:pPr>
      <w:r w:rsidRPr="007137BC">
        <w:rPr>
          <w:rFonts w:cstheme="minorHAnsi"/>
          <w:b/>
        </w:rPr>
        <w:t>Key Indicator 5: Increased participation in competitive sport</w:t>
      </w:r>
    </w:p>
    <w:p w14:paraId="22A7BBBB" w14:textId="77777777" w:rsidR="00BE69A8" w:rsidRDefault="00BE69A8" w:rsidP="00BE69A8">
      <w:pPr>
        <w:spacing w:before="120" w:after="240" w:line="240" w:lineRule="auto"/>
        <w:rPr>
          <w:rFonts w:cstheme="minorHAnsi"/>
          <w:b/>
          <w:u w:val="single"/>
        </w:rPr>
      </w:pPr>
    </w:p>
    <w:p w14:paraId="17D9C230" w14:textId="77777777" w:rsidR="00BE69A8" w:rsidRDefault="00BE69A8" w:rsidP="00BE69A8">
      <w:pPr>
        <w:spacing w:before="120" w:after="240" w:line="240" w:lineRule="auto"/>
        <w:rPr>
          <w:rFonts w:cstheme="minorHAnsi"/>
        </w:rPr>
      </w:pPr>
      <w:r w:rsidRPr="007137BC">
        <w:rPr>
          <w:rFonts w:cstheme="minorHAnsi"/>
          <w:b/>
          <w:u w:val="single"/>
        </w:rPr>
        <w:t>Active miles</w:t>
      </w:r>
      <w:r w:rsidRPr="007137BC">
        <w:rPr>
          <w:rFonts w:cstheme="minorHAnsi"/>
          <w:b/>
          <w:u w:val="single"/>
        </w:rPr>
        <w:br/>
      </w:r>
      <w:r w:rsidRPr="007137BC">
        <w:rPr>
          <w:rFonts w:cstheme="minorHAnsi"/>
        </w:rPr>
        <w:t>Where schools choose to take part in an active mile, you should use your existing playgrounds, fields, halls and sports facilities to incorporate an active mile into the school day and develop a lifelong habit of daily physical activity.</w:t>
      </w:r>
    </w:p>
    <w:p w14:paraId="17FB6955" w14:textId="77777777" w:rsidR="00BE69A8" w:rsidRPr="002838C2" w:rsidRDefault="00BE69A8" w:rsidP="00BE69A8">
      <w:pPr>
        <w:spacing w:before="120" w:after="240" w:line="240" w:lineRule="auto"/>
        <w:rPr>
          <w:rFonts w:cstheme="minorHAnsi"/>
          <w:color w:val="00B050"/>
        </w:rPr>
      </w:pPr>
      <w:r w:rsidRPr="002838C2">
        <w:rPr>
          <w:rFonts w:cstheme="minorHAnsi"/>
          <w:color w:val="00B050"/>
        </w:rPr>
        <w:t>It is not appropriate to use PE and sport premium funding to fund the cost of a specially constructed course.</w:t>
      </w:r>
    </w:p>
    <w:p w14:paraId="230496B5" w14:textId="77777777" w:rsidR="00BE69A8" w:rsidRPr="007137BC" w:rsidRDefault="00FF23A7" w:rsidP="00BE69A8">
      <w:pPr>
        <w:spacing w:before="120" w:after="240"/>
        <w:rPr>
          <w:rFonts w:cstheme="minorHAnsi"/>
        </w:rPr>
      </w:pPr>
      <w:r>
        <w:rPr>
          <w:rFonts w:cstheme="minorHAnsi"/>
          <w:b/>
          <w:u w:val="single"/>
        </w:rPr>
        <w:t>S</w:t>
      </w:r>
      <w:r w:rsidR="00BE69A8" w:rsidRPr="004E03E9">
        <w:rPr>
          <w:rFonts w:cstheme="minorHAnsi"/>
          <w:b/>
          <w:u w:val="single"/>
        </w:rPr>
        <w:t>wimming</w:t>
      </w:r>
      <w:r>
        <w:rPr>
          <w:rFonts w:cstheme="minorHAnsi"/>
          <w:b/>
          <w:u w:val="single"/>
        </w:rPr>
        <w:t xml:space="preserve"> – guidance </w:t>
      </w:r>
    </w:p>
    <w:p w14:paraId="02165368" w14:textId="77777777" w:rsidR="00BE69A8" w:rsidRPr="007137BC" w:rsidRDefault="00BE69A8" w:rsidP="00BE69A8">
      <w:pPr>
        <w:spacing w:before="120" w:after="240" w:line="240" w:lineRule="auto"/>
        <w:rPr>
          <w:rFonts w:cstheme="minorHAnsi"/>
        </w:rPr>
      </w:pPr>
      <w:r w:rsidRPr="007137BC">
        <w:rPr>
          <w:rFonts w:cstheme="minorHAnsi"/>
        </w:rPr>
        <w:t>The premium can be used to fund the professional development and training that is available to schools to train staff to support high quality swimming and water safety lessons for their pupils.</w:t>
      </w:r>
    </w:p>
    <w:p w14:paraId="2D8A725B" w14:textId="77777777" w:rsidR="00BE69A8" w:rsidRDefault="00BE69A8" w:rsidP="00BE69A8">
      <w:pPr>
        <w:pStyle w:val="NormalWeb"/>
        <w:shd w:val="clear" w:color="auto" w:fill="FFFFFF"/>
        <w:spacing w:before="120" w:beforeAutospacing="0" w:after="240" w:afterAutospacing="0"/>
        <w:rPr>
          <w:rFonts w:asciiTheme="minorHAnsi" w:hAnsiTheme="minorHAnsi" w:cstheme="minorHAnsi"/>
          <w:sz w:val="22"/>
          <w:szCs w:val="22"/>
        </w:rPr>
      </w:pPr>
      <w:r w:rsidRPr="007137BC">
        <w:rPr>
          <w:rFonts w:asciiTheme="minorHAnsi" w:hAnsiTheme="minorHAnsi" w:cstheme="minorHAnsi"/>
          <w:sz w:val="22"/>
          <w:szCs w:val="22"/>
        </w:rPr>
        <w:t>The premium may also be used to provide additional top-up swimming lessons to pupils who have not been able to meet the 3 national curriculum requirements for swimming and water safety - after the delivery of core swimming and water safety lessons.</w:t>
      </w:r>
    </w:p>
    <w:p w14:paraId="3351E208" w14:textId="77777777" w:rsidR="00BE69A8" w:rsidRPr="007137BC" w:rsidRDefault="00BE69A8" w:rsidP="00BE69A8">
      <w:pPr>
        <w:pStyle w:val="NormalWeb"/>
        <w:shd w:val="clear" w:color="auto" w:fill="FFFFFF"/>
        <w:spacing w:before="120" w:beforeAutospacing="0" w:after="240" w:afterAutospacing="0"/>
        <w:rPr>
          <w:rFonts w:asciiTheme="minorHAnsi" w:hAnsiTheme="minorHAnsi" w:cstheme="minorHAnsi"/>
          <w:sz w:val="22"/>
          <w:szCs w:val="22"/>
        </w:rPr>
      </w:pPr>
    </w:p>
    <w:p w14:paraId="675916A2" w14:textId="77777777" w:rsidR="00BE69A8" w:rsidRDefault="00BE69A8" w:rsidP="00BE69A8">
      <w:pPr>
        <w:spacing w:before="120" w:after="240" w:line="240" w:lineRule="auto"/>
        <w:rPr>
          <w:rFonts w:cstheme="minorHAnsi"/>
          <w:shd w:val="clear" w:color="auto" w:fill="FFFFFF"/>
        </w:rPr>
      </w:pPr>
      <w:r w:rsidRPr="007137BC">
        <w:rPr>
          <w:rFonts w:cstheme="minorHAnsi"/>
          <w:b/>
          <w:u w:val="single"/>
        </w:rPr>
        <w:t>Accountability</w:t>
      </w:r>
      <w:r w:rsidRPr="007137BC">
        <w:rPr>
          <w:rFonts w:cstheme="minorHAnsi"/>
          <w:b/>
          <w:u w:val="single"/>
        </w:rPr>
        <w:br/>
      </w:r>
      <w:r w:rsidRPr="007137BC">
        <w:rPr>
          <w:rFonts w:cstheme="minorHAnsi"/>
          <w:shd w:val="clear" w:color="auto" w:fill="FFFFFF"/>
        </w:rPr>
        <w:t xml:space="preserve">Schools are expected to spend the grant for the purpose it was provided only – to make additional and </w:t>
      </w:r>
      <w:r w:rsidRPr="007137BC">
        <w:rPr>
          <w:rFonts w:cstheme="minorHAnsi"/>
          <w:shd w:val="clear" w:color="auto" w:fill="FFFFFF"/>
        </w:rPr>
        <w:lastRenderedPageBreak/>
        <w:t>sustainable improvements to the </w:t>
      </w:r>
      <w:r w:rsidRPr="007137BC">
        <w:rPr>
          <w:rFonts w:cstheme="minorHAnsi"/>
        </w:rPr>
        <w:t>PE</w:t>
      </w:r>
      <w:r w:rsidRPr="007137BC">
        <w:rPr>
          <w:rFonts w:cstheme="minorHAnsi"/>
          <w:shd w:val="clear" w:color="auto" w:fill="FFFFFF"/>
        </w:rPr>
        <w:t>, sport and physical activity offered. Schools and local authorities must follow the terms and conditions in the </w:t>
      </w:r>
      <w:r w:rsidRPr="007137BC">
        <w:rPr>
          <w:rFonts w:cstheme="minorHAnsi"/>
          <w:bdr w:val="none" w:sz="0" w:space="0" w:color="auto" w:frame="1"/>
          <w:shd w:val="clear" w:color="auto" w:fill="FFFFFF"/>
        </w:rPr>
        <w:t>conditions of grant documents</w:t>
      </w:r>
      <w:r w:rsidRPr="007137BC">
        <w:rPr>
          <w:rFonts w:cstheme="minorHAnsi"/>
          <w:shd w:val="clear" w:color="auto" w:fill="FFFFFF"/>
        </w:rPr>
        <w:t>.</w:t>
      </w:r>
    </w:p>
    <w:p w14:paraId="5FC63ADD" w14:textId="77777777" w:rsidR="00BE69A8" w:rsidRPr="002838C2" w:rsidRDefault="00FF23A7" w:rsidP="00BE69A8">
      <w:pPr>
        <w:spacing w:before="120" w:after="240" w:line="240" w:lineRule="auto"/>
        <w:rPr>
          <w:rFonts w:cstheme="minorHAnsi"/>
          <w:color w:val="00B050"/>
          <w:shd w:val="clear" w:color="auto" w:fill="FFFFFF"/>
        </w:rPr>
      </w:pPr>
      <w:r>
        <w:rPr>
          <w:rFonts w:cstheme="minorHAnsi"/>
          <w:color w:val="00B050"/>
          <w:shd w:val="clear" w:color="auto" w:fill="FFFFFF"/>
        </w:rPr>
        <w:t xml:space="preserve">New for this year - </w:t>
      </w:r>
      <w:r w:rsidR="00BE69A8" w:rsidRPr="002838C2">
        <w:rPr>
          <w:rFonts w:cstheme="minorHAnsi"/>
          <w:color w:val="00B050"/>
          <w:shd w:val="clear" w:color="auto" w:fill="FFFFFF"/>
        </w:rPr>
        <w:t>As part of their role, governors and academy trustees should monitor:</w:t>
      </w:r>
    </w:p>
    <w:p w14:paraId="52CD0D58" w14:textId="77777777" w:rsidR="00BE69A8" w:rsidRPr="002838C2" w:rsidRDefault="00BE69A8" w:rsidP="00BE69A8">
      <w:pPr>
        <w:pStyle w:val="ListParagraph"/>
        <w:numPr>
          <w:ilvl w:val="0"/>
          <w:numId w:val="12"/>
        </w:numPr>
        <w:spacing w:before="120" w:after="240" w:line="240" w:lineRule="auto"/>
        <w:rPr>
          <w:rFonts w:cstheme="minorHAnsi"/>
          <w:color w:val="00B050"/>
          <w:shd w:val="clear" w:color="auto" w:fill="FFFFFF"/>
        </w:rPr>
      </w:pPr>
      <w:r w:rsidRPr="002838C2">
        <w:rPr>
          <w:rFonts w:cstheme="minorHAnsi"/>
          <w:color w:val="00B050"/>
          <w:shd w:val="clear" w:color="auto" w:fill="FFFFFF"/>
        </w:rPr>
        <w:t>how the funding is being spent</w:t>
      </w:r>
    </w:p>
    <w:p w14:paraId="1F85D9BD" w14:textId="77777777" w:rsidR="00BE69A8" w:rsidRPr="002838C2" w:rsidRDefault="00BE69A8" w:rsidP="00BE69A8">
      <w:pPr>
        <w:pStyle w:val="ListParagraph"/>
        <w:numPr>
          <w:ilvl w:val="0"/>
          <w:numId w:val="12"/>
        </w:numPr>
        <w:spacing w:before="120" w:after="240" w:line="240" w:lineRule="auto"/>
        <w:rPr>
          <w:rFonts w:cstheme="minorHAnsi"/>
          <w:color w:val="00B050"/>
          <w:shd w:val="clear" w:color="auto" w:fill="FFFFFF"/>
        </w:rPr>
      </w:pPr>
      <w:r w:rsidRPr="002838C2">
        <w:rPr>
          <w:rFonts w:cstheme="minorHAnsi"/>
          <w:color w:val="00B050"/>
          <w:shd w:val="clear" w:color="auto" w:fill="FFFFFF"/>
        </w:rPr>
        <w:t>how it fits into school improvement plans</w:t>
      </w:r>
    </w:p>
    <w:p w14:paraId="6CFEE94C" w14:textId="77777777" w:rsidR="00BE69A8" w:rsidRPr="002838C2" w:rsidRDefault="00BE69A8" w:rsidP="00BE69A8">
      <w:pPr>
        <w:pStyle w:val="ListParagraph"/>
        <w:numPr>
          <w:ilvl w:val="0"/>
          <w:numId w:val="12"/>
        </w:numPr>
        <w:spacing w:before="120" w:after="240" w:line="240" w:lineRule="auto"/>
        <w:rPr>
          <w:rFonts w:cstheme="minorHAnsi"/>
          <w:color w:val="00B050"/>
          <w:shd w:val="clear" w:color="auto" w:fill="FFFFFF"/>
        </w:rPr>
      </w:pPr>
      <w:r w:rsidRPr="002838C2">
        <w:rPr>
          <w:rFonts w:cstheme="minorHAnsi"/>
          <w:color w:val="00B050"/>
          <w:shd w:val="clear" w:color="auto" w:fill="FFFFFF"/>
        </w:rPr>
        <w:t>the impact it is having on pupils</w:t>
      </w:r>
    </w:p>
    <w:p w14:paraId="0A48E6F3" w14:textId="77777777" w:rsidR="00BE69A8" w:rsidRPr="007137BC" w:rsidRDefault="00BE69A8" w:rsidP="00BE69A8">
      <w:pPr>
        <w:spacing w:before="120" w:after="240" w:line="240" w:lineRule="auto"/>
        <w:rPr>
          <w:rFonts w:cstheme="minorHAnsi"/>
        </w:rPr>
      </w:pPr>
    </w:p>
    <w:p w14:paraId="29D09FC4" w14:textId="77777777" w:rsidR="00A800D5" w:rsidRDefault="00BE69A8" w:rsidP="00BE69A8">
      <w:pPr>
        <w:spacing w:before="120" w:after="240" w:line="240" w:lineRule="auto"/>
        <w:rPr>
          <w:rFonts w:cstheme="minorHAnsi"/>
          <w:b/>
          <w:u w:val="single"/>
        </w:rPr>
      </w:pPr>
      <w:r w:rsidRPr="004D2F91">
        <w:rPr>
          <w:rFonts w:cstheme="minorHAnsi"/>
          <w:b/>
          <w:u w:val="single"/>
        </w:rPr>
        <w:t>Online Reporting</w:t>
      </w:r>
    </w:p>
    <w:p w14:paraId="438DF17A" w14:textId="77777777" w:rsidR="00A800D5" w:rsidRDefault="00A800D5" w:rsidP="00BE69A8">
      <w:pPr>
        <w:spacing w:before="120" w:after="240" w:line="240" w:lineRule="auto"/>
        <w:rPr>
          <w:rFonts w:cstheme="minorHAnsi"/>
        </w:rPr>
      </w:pPr>
      <w:r>
        <w:rPr>
          <w:rFonts w:cstheme="minorHAnsi"/>
        </w:rPr>
        <w:t xml:space="preserve">It is good practice </w:t>
      </w:r>
      <w:r w:rsidR="00542940">
        <w:rPr>
          <w:rFonts w:cstheme="minorHAnsi"/>
        </w:rPr>
        <w:t>to have your current plan (for this academic year) on your website. This is a working document</w:t>
      </w:r>
      <w:r w:rsidR="00FF23A7">
        <w:rPr>
          <w:rFonts w:cstheme="minorHAnsi"/>
        </w:rPr>
        <w:t xml:space="preserve">. </w:t>
      </w:r>
    </w:p>
    <w:p w14:paraId="3775B5E7" w14:textId="77777777" w:rsidR="00BE69A8" w:rsidRDefault="00BE69A8" w:rsidP="00BE69A8">
      <w:pPr>
        <w:spacing w:before="120" w:after="240" w:line="240" w:lineRule="auto"/>
        <w:rPr>
          <w:rFonts w:cstheme="minorHAnsi"/>
        </w:rPr>
      </w:pPr>
      <w:r w:rsidRPr="004D2F91">
        <w:rPr>
          <w:rFonts w:cstheme="minorHAnsi"/>
        </w:rPr>
        <w:t>By the end of the summer term (31</w:t>
      </w:r>
      <w:r w:rsidRPr="004D2F91">
        <w:rPr>
          <w:rFonts w:cstheme="minorHAnsi"/>
          <w:vertAlign w:val="superscript"/>
        </w:rPr>
        <w:t>st</w:t>
      </w:r>
      <w:r w:rsidRPr="004D2F91">
        <w:rPr>
          <w:rFonts w:cstheme="minorHAnsi"/>
        </w:rPr>
        <w:t xml:space="preserve"> July 2023), a school must publish </w:t>
      </w:r>
      <w:r>
        <w:rPr>
          <w:rFonts w:cstheme="minorHAnsi"/>
        </w:rPr>
        <w:t>their completed plan</w:t>
      </w:r>
    </w:p>
    <w:p w14:paraId="39D03DEE" w14:textId="0A37DB77" w:rsidR="00BE69A8" w:rsidRPr="004D2F91" w:rsidRDefault="00BE69A8" w:rsidP="00BE69A8">
      <w:pPr>
        <w:spacing w:before="120" w:after="240" w:line="240" w:lineRule="auto"/>
        <w:rPr>
          <w:rFonts w:cstheme="minorHAnsi"/>
        </w:rPr>
      </w:pPr>
      <w:r>
        <w:rPr>
          <w:rFonts w:cstheme="minorHAnsi"/>
        </w:rPr>
        <w:t xml:space="preserve">Please use the same template (email </w:t>
      </w:r>
      <w:hyperlink r:id="rId10" w:history="1">
        <w:r w:rsidRPr="00216187">
          <w:rPr>
            <w:rStyle w:val="Hyperlink"/>
            <w:rFonts w:cstheme="minorHAnsi"/>
          </w:rPr>
          <w:t>emma@strideactive.org</w:t>
        </w:r>
      </w:hyperlink>
      <w:r>
        <w:rPr>
          <w:rFonts w:cstheme="minorHAnsi"/>
        </w:rPr>
        <w:t xml:space="preserve"> if you need the word document reporting template</w:t>
      </w:r>
      <w:r w:rsidR="0080681C">
        <w:rPr>
          <w:rFonts w:cstheme="minorHAnsi"/>
        </w:rPr>
        <w:t>)</w:t>
      </w:r>
    </w:p>
    <w:p w14:paraId="04E4933B" w14:textId="77777777" w:rsidR="00BE69A8" w:rsidRPr="00627B0C" w:rsidRDefault="00FF23A7" w:rsidP="00BE69A8">
      <w:pPr>
        <w:spacing w:before="120" w:after="240" w:line="240" w:lineRule="auto"/>
        <w:rPr>
          <w:rFonts w:cstheme="minorHAnsi"/>
          <w:b/>
          <w:color w:val="00B050"/>
          <w:u w:val="single"/>
          <w:shd w:val="clear" w:color="auto" w:fill="FFFFFF"/>
        </w:rPr>
      </w:pPr>
      <w:r>
        <w:rPr>
          <w:rFonts w:cstheme="minorHAnsi"/>
          <w:b/>
          <w:color w:val="00B050"/>
          <w:u w:val="single"/>
          <w:shd w:val="clear" w:color="auto" w:fill="FFFFFF"/>
        </w:rPr>
        <w:t xml:space="preserve">New for this year - </w:t>
      </w:r>
      <w:r w:rsidR="00BE69A8" w:rsidRPr="00627B0C">
        <w:rPr>
          <w:rFonts w:cstheme="minorHAnsi"/>
          <w:b/>
          <w:color w:val="00B050"/>
          <w:u w:val="single"/>
          <w:shd w:val="clear" w:color="auto" w:fill="FFFFFF"/>
        </w:rPr>
        <w:t>Review of online reports</w:t>
      </w:r>
    </w:p>
    <w:p w14:paraId="4FF0E1A6" w14:textId="77777777" w:rsidR="00BE69A8" w:rsidRPr="002838C2" w:rsidRDefault="00BE69A8" w:rsidP="00BE69A8">
      <w:pPr>
        <w:spacing w:before="120" w:after="240" w:line="240" w:lineRule="auto"/>
        <w:rPr>
          <w:rFonts w:cstheme="minorHAnsi"/>
          <w:color w:val="00B050"/>
          <w:shd w:val="clear" w:color="auto" w:fill="FFFFFF"/>
        </w:rPr>
      </w:pPr>
      <w:r w:rsidRPr="002838C2">
        <w:rPr>
          <w:rFonts w:cstheme="minorHAnsi"/>
          <w:color w:val="00B050"/>
          <w:shd w:val="clear" w:color="auto" w:fill="FFFFFF"/>
        </w:rPr>
        <w:t>School online reporting will be monitored by DfE. We will look at a selection of schools’ online reports to confirm that use of the PE and sport premium described in the report meets the requirements outlined within this guidance and the conditions of grant document.</w:t>
      </w:r>
    </w:p>
    <w:p w14:paraId="670D8561" w14:textId="77777777" w:rsidR="00BE69A8" w:rsidRDefault="00BE69A8" w:rsidP="00BE69A8">
      <w:pPr>
        <w:spacing w:before="120" w:after="240" w:line="240" w:lineRule="auto"/>
        <w:rPr>
          <w:rFonts w:cstheme="minorHAnsi"/>
          <w:b/>
        </w:rPr>
      </w:pPr>
      <w:r w:rsidRPr="002838C2">
        <w:rPr>
          <w:rFonts w:cstheme="minorHAnsi"/>
          <w:color w:val="00B050"/>
          <w:shd w:val="clear" w:color="auto" w:fill="FFFFFF"/>
        </w:rPr>
        <w:t>Where concerns or discrepancies are identified the department will make contact with the school to address and investigate these fully. In the event that any concerns are confirmed, appropriate and proportionate action will be taken against the school, which may include action to recover funding from the school.</w:t>
      </w:r>
    </w:p>
    <w:p w14:paraId="0CC2BF8B" w14:textId="77777777" w:rsidR="00BE69A8" w:rsidRDefault="00BE69A8" w:rsidP="00BE69A8">
      <w:pPr>
        <w:spacing w:before="120" w:after="240" w:line="240" w:lineRule="auto"/>
        <w:rPr>
          <w:rFonts w:cstheme="minorHAnsi"/>
          <w:b/>
        </w:rPr>
      </w:pPr>
    </w:p>
    <w:p w14:paraId="263B0127" w14:textId="77777777" w:rsidR="00BE69A8" w:rsidRDefault="00FF23A7" w:rsidP="00BE69A8">
      <w:pPr>
        <w:spacing w:before="120" w:after="240" w:line="240" w:lineRule="auto"/>
        <w:rPr>
          <w:rFonts w:cstheme="minorHAnsi"/>
          <w:b/>
        </w:rPr>
      </w:pPr>
      <w:r>
        <w:rPr>
          <w:rFonts w:cstheme="minorHAnsi"/>
          <w:b/>
        </w:rPr>
        <w:t xml:space="preserve">LINKS </w:t>
      </w:r>
    </w:p>
    <w:p w14:paraId="40A7FDD9" w14:textId="77777777" w:rsidR="00BE69A8" w:rsidRPr="004D2F91" w:rsidRDefault="00BE69A8" w:rsidP="00BE69A8">
      <w:pPr>
        <w:spacing w:before="120" w:after="240" w:line="240" w:lineRule="auto"/>
        <w:rPr>
          <w:rFonts w:cstheme="minorHAnsi"/>
          <w:b/>
        </w:rPr>
      </w:pPr>
      <w:r w:rsidRPr="004D2F91">
        <w:rPr>
          <w:rFonts w:cstheme="minorHAnsi"/>
          <w:b/>
        </w:rPr>
        <w:t>Conditions of grant 2022-23</w:t>
      </w:r>
    </w:p>
    <w:p w14:paraId="07C24F05" w14:textId="77777777" w:rsidR="00BE69A8" w:rsidRPr="00B70FCC" w:rsidRDefault="00BE69A8" w:rsidP="00B70FCC">
      <w:pPr>
        <w:pStyle w:val="ListParagraph"/>
        <w:numPr>
          <w:ilvl w:val="0"/>
          <w:numId w:val="13"/>
        </w:numPr>
        <w:spacing w:before="120" w:after="240" w:line="240" w:lineRule="auto"/>
        <w:rPr>
          <w:rFonts w:cstheme="minorHAnsi"/>
        </w:rPr>
      </w:pPr>
      <w:r w:rsidRPr="00B70FCC">
        <w:rPr>
          <w:rFonts w:cstheme="minorHAnsi"/>
        </w:rPr>
        <w:t xml:space="preserve">Academies: </w:t>
      </w:r>
      <w:hyperlink r:id="rId11" w:history="1">
        <w:r w:rsidRPr="00B70FCC">
          <w:rPr>
            <w:rStyle w:val="Hyperlink"/>
            <w:rFonts w:cstheme="minorHAnsi"/>
          </w:rPr>
          <w:t>https://www.gov.uk/government/publications/pe-and-sport-premium-conditions-of-grant-2022-to-2023/pe-and-sport-premium-conditions-of-grant-2022-to-2023-academies</w:t>
        </w:r>
      </w:hyperlink>
    </w:p>
    <w:p w14:paraId="445E167B" w14:textId="77777777" w:rsidR="00BE69A8" w:rsidRPr="00B70FCC" w:rsidRDefault="00BE69A8" w:rsidP="00B70FCC">
      <w:pPr>
        <w:pStyle w:val="ListParagraph"/>
        <w:numPr>
          <w:ilvl w:val="0"/>
          <w:numId w:val="13"/>
        </w:numPr>
        <w:spacing w:before="120" w:after="240" w:line="240" w:lineRule="auto"/>
        <w:rPr>
          <w:rFonts w:cstheme="minorHAnsi"/>
        </w:rPr>
      </w:pPr>
      <w:r w:rsidRPr="00B70FCC">
        <w:rPr>
          <w:rFonts w:cstheme="minorHAnsi"/>
        </w:rPr>
        <w:t xml:space="preserve">Maintained schools: </w:t>
      </w:r>
      <w:hyperlink r:id="rId12" w:history="1">
        <w:r w:rsidRPr="00B70FCC">
          <w:rPr>
            <w:rStyle w:val="Hyperlink"/>
            <w:rFonts w:cstheme="minorHAnsi"/>
          </w:rPr>
          <w:t>https://www.gov.uk/government/publications/pe-and-sport-premium-conditions-of-grant-2022-to-2023/pe-and-sport-premium-conditions-of-grant-2022-to-2023-maintained-schools</w:t>
        </w:r>
      </w:hyperlink>
    </w:p>
    <w:p w14:paraId="68915834" w14:textId="77777777" w:rsidR="00BE69A8" w:rsidRPr="00B70FCC" w:rsidRDefault="00BE69A8" w:rsidP="00B70FCC">
      <w:pPr>
        <w:pStyle w:val="ListParagraph"/>
        <w:numPr>
          <w:ilvl w:val="0"/>
          <w:numId w:val="13"/>
        </w:numPr>
        <w:spacing w:before="120" w:after="240" w:line="240" w:lineRule="auto"/>
        <w:rPr>
          <w:rFonts w:cstheme="minorHAnsi"/>
        </w:rPr>
      </w:pPr>
      <w:r w:rsidRPr="00B70FCC">
        <w:rPr>
          <w:rFonts w:cstheme="minorHAnsi"/>
        </w:rPr>
        <w:t xml:space="preserve">Non-maintained special schools: </w:t>
      </w:r>
      <w:hyperlink r:id="rId13" w:history="1">
        <w:r w:rsidRPr="00B70FCC">
          <w:rPr>
            <w:rStyle w:val="Hyperlink"/>
            <w:rFonts w:cstheme="minorHAnsi"/>
          </w:rPr>
          <w:t>https://www.gov.uk/government/publications/pe-and-sport-premium-conditions-of-grant-2022-to-2023/pe-and-sport-premium-conditions-of-grant-2022-to-2023-non-maintained-special-schools</w:t>
        </w:r>
      </w:hyperlink>
      <w:r w:rsidRPr="00B70FCC">
        <w:rPr>
          <w:rFonts w:cstheme="minorHAnsi"/>
        </w:rPr>
        <w:t xml:space="preserve"> </w:t>
      </w:r>
    </w:p>
    <w:p w14:paraId="2AF1B5D5" w14:textId="77777777" w:rsidR="00BE69A8" w:rsidRPr="004D2F91" w:rsidRDefault="0027739B" w:rsidP="00BE69A8">
      <w:pPr>
        <w:spacing w:before="120" w:after="240" w:line="240" w:lineRule="auto"/>
        <w:rPr>
          <w:rFonts w:cstheme="minorHAnsi"/>
          <w:b/>
        </w:rPr>
      </w:pPr>
      <w:r>
        <w:rPr>
          <w:rFonts w:cstheme="minorHAnsi"/>
          <w:b/>
        </w:rPr>
        <w:t>DfE a</w:t>
      </w:r>
      <w:r w:rsidR="00BE69A8" w:rsidRPr="004D2F91">
        <w:rPr>
          <w:rFonts w:cstheme="minorHAnsi"/>
          <w:b/>
        </w:rPr>
        <w:t>dvice on how it should be spent</w:t>
      </w:r>
    </w:p>
    <w:p w14:paraId="15D97849" w14:textId="77777777" w:rsidR="00BE69A8" w:rsidRPr="00B70FCC" w:rsidRDefault="0080681C" w:rsidP="00B70FCC">
      <w:pPr>
        <w:pStyle w:val="ListParagraph"/>
        <w:numPr>
          <w:ilvl w:val="0"/>
          <w:numId w:val="14"/>
        </w:numPr>
        <w:spacing w:before="120" w:after="240" w:line="240" w:lineRule="auto"/>
        <w:rPr>
          <w:rStyle w:val="Hyperlink"/>
          <w:rFonts w:cstheme="minorHAnsi"/>
        </w:rPr>
      </w:pPr>
      <w:hyperlink r:id="rId14" w:history="1">
        <w:r w:rsidR="00BE69A8" w:rsidRPr="00B70FCC">
          <w:rPr>
            <w:rStyle w:val="Hyperlink"/>
            <w:rFonts w:cstheme="minorHAnsi"/>
          </w:rPr>
          <w:t>https://www.gov.uk/guidance/pe-and-sport-premium-for-primary-schools</w:t>
        </w:r>
      </w:hyperlink>
    </w:p>
    <w:p w14:paraId="52E83C12" w14:textId="77777777" w:rsidR="00B70FCC" w:rsidRPr="0027739B" w:rsidRDefault="0027739B" w:rsidP="00B70FCC">
      <w:pPr>
        <w:spacing w:before="120" w:after="240" w:line="240" w:lineRule="auto"/>
        <w:rPr>
          <w:rFonts w:cstheme="minorHAnsi"/>
          <w:b/>
        </w:rPr>
      </w:pPr>
      <w:r w:rsidRPr="0027739B">
        <w:rPr>
          <w:rFonts w:cstheme="minorHAnsi"/>
          <w:b/>
        </w:rPr>
        <w:t xml:space="preserve">PE premium individual school allocations </w:t>
      </w:r>
    </w:p>
    <w:p w14:paraId="3255572E" w14:textId="77777777" w:rsidR="0027739B" w:rsidRDefault="0080681C" w:rsidP="0027739B">
      <w:pPr>
        <w:pStyle w:val="ListParagraph"/>
        <w:numPr>
          <w:ilvl w:val="0"/>
          <w:numId w:val="14"/>
        </w:numPr>
        <w:spacing w:before="120" w:after="240" w:line="240" w:lineRule="auto"/>
        <w:rPr>
          <w:rFonts w:cstheme="minorHAnsi"/>
          <w:color w:val="0563C1" w:themeColor="hyperlink"/>
          <w:u w:val="single"/>
        </w:rPr>
      </w:pPr>
      <w:hyperlink r:id="rId15" w:history="1">
        <w:r w:rsidR="0027739B" w:rsidRPr="00B70FCC">
          <w:rPr>
            <w:rStyle w:val="Hyperlink"/>
            <w:rFonts w:cstheme="minorHAnsi"/>
          </w:rPr>
          <w:t>https://skillsfunding.service.gov.uk/view-latest-funding/national-funding-allocations/PSG/2022-to-2023</w:t>
        </w:r>
      </w:hyperlink>
    </w:p>
    <w:p w14:paraId="0EFE54FC" w14:textId="77777777" w:rsidR="0027739B" w:rsidRPr="0027739B" w:rsidRDefault="0027739B" w:rsidP="00B70FCC">
      <w:pPr>
        <w:spacing w:before="120" w:after="240" w:line="240" w:lineRule="auto"/>
        <w:rPr>
          <w:rFonts w:cstheme="minorHAnsi"/>
        </w:rPr>
      </w:pPr>
    </w:p>
    <w:sectPr w:rsidR="0027739B" w:rsidRPr="0027739B" w:rsidSect="00B70FCC">
      <w:pgSz w:w="11906" w:h="16838"/>
      <w:pgMar w:top="567"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7FEBA" w14:textId="77777777" w:rsidR="00A800D5" w:rsidRDefault="00A800D5" w:rsidP="00BE69A8">
      <w:pPr>
        <w:spacing w:after="0" w:line="240" w:lineRule="auto"/>
      </w:pPr>
      <w:r>
        <w:separator/>
      </w:r>
    </w:p>
  </w:endnote>
  <w:endnote w:type="continuationSeparator" w:id="0">
    <w:p w14:paraId="040BCB64" w14:textId="77777777" w:rsidR="00A800D5" w:rsidRDefault="00A800D5" w:rsidP="00BE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C7C2A" w14:textId="77777777" w:rsidR="00A800D5" w:rsidRDefault="00A800D5" w:rsidP="00BE69A8">
      <w:pPr>
        <w:spacing w:after="0" w:line="240" w:lineRule="auto"/>
      </w:pPr>
      <w:r>
        <w:separator/>
      </w:r>
    </w:p>
  </w:footnote>
  <w:footnote w:type="continuationSeparator" w:id="0">
    <w:p w14:paraId="0616AE92" w14:textId="77777777" w:rsidR="00A800D5" w:rsidRDefault="00A800D5" w:rsidP="00BE6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25F9"/>
    <w:multiLevelType w:val="hybridMultilevel"/>
    <w:tmpl w:val="F342AA3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05F94883"/>
    <w:multiLevelType w:val="hybridMultilevel"/>
    <w:tmpl w:val="1214E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A550B"/>
    <w:multiLevelType w:val="hybridMultilevel"/>
    <w:tmpl w:val="77626DC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 w15:restartNumberingAfterBreak="0">
    <w:nsid w:val="120A2C93"/>
    <w:multiLevelType w:val="hybridMultilevel"/>
    <w:tmpl w:val="7048E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3A25C3"/>
    <w:multiLevelType w:val="hybridMultilevel"/>
    <w:tmpl w:val="E7E8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63BA9"/>
    <w:multiLevelType w:val="hybridMultilevel"/>
    <w:tmpl w:val="20CE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530CB"/>
    <w:multiLevelType w:val="hybridMultilevel"/>
    <w:tmpl w:val="27C03DD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28755D01"/>
    <w:multiLevelType w:val="hybridMultilevel"/>
    <w:tmpl w:val="DBC6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24AAE"/>
    <w:multiLevelType w:val="hybridMultilevel"/>
    <w:tmpl w:val="7BFA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C28BE"/>
    <w:multiLevelType w:val="hybridMultilevel"/>
    <w:tmpl w:val="9D3C85E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0" w15:restartNumberingAfterBreak="0">
    <w:nsid w:val="4BEC5E70"/>
    <w:multiLevelType w:val="hybridMultilevel"/>
    <w:tmpl w:val="9694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2735D0"/>
    <w:multiLevelType w:val="hybridMultilevel"/>
    <w:tmpl w:val="67D2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232C4"/>
    <w:multiLevelType w:val="hybridMultilevel"/>
    <w:tmpl w:val="9722862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3" w15:restartNumberingAfterBreak="0">
    <w:nsid w:val="79161150"/>
    <w:multiLevelType w:val="hybridMultilevel"/>
    <w:tmpl w:val="D166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7"/>
  </w:num>
  <w:num w:numId="5">
    <w:abstractNumId w:val="2"/>
  </w:num>
  <w:num w:numId="6">
    <w:abstractNumId w:val="12"/>
  </w:num>
  <w:num w:numId="7">
    <w:abstractNumId w:val="6"/>
  </w:num>
  <w:num w:numId="8">
    <w:abstractNumId w:val="0"/>
  </w:num>
  <w:num w:numId="9">
    <w:abstractNumId w:val="5"/>
  </w:num>
  <w:num w:numId="10">
    <w:abstractNumId w:val="9"/>
  </w:num>
  <w:num w:numId="11">
    <w:abstractNumId w:val="11"/>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A8"/>
    <w:rsid w:val="00256020"/>
    <w:rsid w:val="0027739B"/>
    <w:rsid w:val="00542940"/>
    <w:rsid w:val="005F4D02"/>
    <w:rsid w:val="00755333"/>
    <w:rsid w:val="0080681C"/>
    <w:rsid w:val="00A800D5"/>
    <w:rsid w:val="00B70FCC"/>
    <w:rsid w:val="00BE69A8"/>
    <w:rsid w:val="00C54E52"/>
    <w:rsid w:val="00FF2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1091"/>
  <w15:chartTrackingRefBased/>
  <w15:docId w15:val="{7CD336F1-B793-40CA-9950-54AD0A3D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9A8"/>
    <w:pPr>
      <w:spacing w:after="200" w:line="276" w:lineRule="auto"/>
      <w:ind w:left="720"/>
      <w:contextualSpacing/>
    </w:pPr>
  </w:style>
  <w:style w:type="character" w:styleId="Hyperlink">
    <w:name w:val="Hyperlink"/>
    <w:basedOn w:val="DefaultParagraphFont"/>
    <w:uiPriority w:val="99"/>
    <w:unhideWhenUsed/>
    <w:rsid w:val="00BE69A8"/>
    <w:rPr>
      <w:color w:val="0563C1" w:themeColor="hyperlink"/>
      <w:u w:val="single"/>
    </w:rPr>
  </w:style>
  <w:style w:type="paragraph" w:styleId="NormalWeb">
    <w:name w:val="Normal (Web)"/>
    <w:basedOn w:val="Normal"/>
    <w:uiPriority w:val="99"/>
    <w:unhideWhenUsed/>
    <w:rsid w:val="00BE6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E69A8"/>
    <w:rPr>
      <w:color w:val="605E5C"/>
      <w:shd w:val="clear" w:color="auto" w:fill="E1DFDD"/>
    </w:rPr>
  </w:style>
  <w:style w:type="paragraph" w:styleId="Header">
    <w:name w:val="header"/>
    <w:basedOn w:val="Normal"/>
    <w:link w:val="HeaderChar"/>
    <w:uiPriority w:val="99"/>
    <w:unhideWhenUsed/>
    <w:rsid w:val="00BE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A8"/>
  </w:style>
  <w:style w:type="paragraph" w:styleId="Footer">
    <w:name w:val="footer"/>
    <w:basedOn w:val="Normal"/>
    <w:link w:val="FooterChar"/>
    <w:uiPriority w:val="99"/>
    <w:unhideWhenUsed/>
    <w:rsid w:val="00BE6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e-and-sport-premium-conditions-of-grant-2022-to-2023/pe-and-sport-premium-conditions-of-grant-2022-to-2023-non-maintained-special-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pe-and-sport-premium-conditions-of-grant-2022-to-2023/pe-and-sport-premium-conditions-of-grant-2022-to-2023-maintained-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e-and-sport-premium-conditions-of-grant-2022-to-2023/pe-and-sport-premium-conditions-of-grant-2022-to-2023-academies" TargetMode="External"/><Relationship Id="rId5" Type="http://schemas.openxmlformats.org/officeDocument/2006/relationships/styles" Target="styles.xml"/><Relationship Id="rId15" Type="http://schemas.openxmlformats.org/officeDocument/2006/relationships/hyperlink" Target="https://skillsfunding.service.gov.uk/view-latest-funding/national-funding-allocations/PSG/2022-to-2023" TargetMode="External"/><Relationship Id="rId10" Type="http://schemas.openxmlformats.org/officeDocument/2006/relationships/hyperlink" Target="mailto:emma@strideactiv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e-and-sport-premium-for-primar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47aa7a-f9c9-47d3-b2b3-17826e03e1d5" xsi:nil="true"/>
    <lcf76f155ced4ddcb4097134ff3c332f xmlns="fd2b7871-f53e-4f53-ae74-0faf2ce0a4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0022CB48053E488D9AECF7F68E8F0D" ma:contentTypeVersion="16" ma:contentTypeDescription="Create a new document." ma:contentTypeScope="" ma:versionID="8c55ada86830d3698bf57b31eade7f09">
  <xsd:schema xmlns:xsd="http://www.w3.org/2001/XMLSchema" xmlns:xs="http://www.w3.org/2001/XMLSchema" xmlns:p="http://schemas.microsoft.com/office/2006/metadata/properties" xmlns:ns2="fd2b7871-f53e-4f53-ae74-0faf2ce0a449" xmlns:ns3="a847aa7a-f9c9-47d3-b2b3-17826e03e1d5" targetNamespace="http://schemas.microsoft.com/office/2006/metadata/properties" ma:root="true" ma:fieldsID="e0b313b68395e0e99d4fcca641af41a2" ns2:_="" ns3:_="">
    <xsd:import namespace="fd2b7871-f53e-4f53-ae74-0faf2ce0a449"/>
    <xsd:import namespace="a847aa7a-f9c9-47d3-b2b3-17826e03e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b7871-f53e-4f53-ae74-0faf2ce0a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dce337-f12f-41b4-b52a-9f0133745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47aa7a-f9c9-47d3-b2b3-17826e03e1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a33331-ab56-43f9-8695-4b455c282567}" ma:internalName="TaxCatchAll" ma:showField="CatchAllData" ma:web="a847aa7a-f9c9-47d3-b2b3-17826e03e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51BD1-C033-4000-9D27-825FF412F926}">
  <ds:schemaRefs>
    <ds:schemaRef ds:uri="http://purl.org/dc/elements/1.1/"/>
    <ds:schemaRef ds:uri="http://schemas.microsoft.com/office/2006/documentManagement/types"/>
    <ds:schemaRef ds:uri="http://www.w3.org/XML/1998/namespace"/>
    <ds:schemaRef ds:uri="http://purl.org/dc/dcmitype/"/>
    <ds:schemaRef ds:uri="fd2b7871-f53e-4f53-ae74-0faf2ce0a449"/>
    <ds:schemaRef ds:uri="http://schemas.microsoft.com/office/infopath/2007/PartnerControls"/>
    <ds:schemaRef ds:uri="a847aa7a-f9c9-47d3-b2b3-17826e03e1d5"/>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103F50E-7171-4661-9601-16D6CEFE33D6}">
  <ds:schemaRefs>
    <ds:schemaRef ds:uri="http://schemas.microsoft.com/sharepoint/v3/contenttype/forms"/>
  </ds:schemaRefs>
</ds:datastoreItem>
</file>

<file path=customXml/itemProps3.xml><?xml version="1.0" encoding="utf-8"?>
<ds:datastoreItem xmlns:ds="http://schemas.openxmlformats.org/officeDocument/2006/customXml" ds:itemID="{6C90E1BD-6C96-4CFF-A9DC-446CB194A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b7871-f53e-4f53-ae74-0faf2ce0a449"/>
    <ds:schemaRef ds:uri="a847aa7a-f9c9-47d3-b2b3-17826e03e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Gardner</dc:creator>
  <cp:keywords/>
  <dc:description/>
  <cp:lastModifiedBy>Rebekah Williams</cp:lastModifiedBy>
  <cp:revision>5</cp:revision>
  <cp:lastPrinted>2022-11-23T14:56:00Z</cp:lastPrinted>
  <dcterms:created xsi:type="dcterms:W3CDTF">2022-11-22T08:07:00Z</dcterms:created>
  <dcterms:modified xsi:type="dcterms:W3CDTF">2022-11-23T14:58:00Z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0x010100930022CB48053E488D9AECF7F68E8F0D</vt:lpwstr>
  </property>
  <property fmtid="{D5CDD505-2E9C-101B-9397-08002B2CF9AE}" pid="3" name="MediaServiceImageTags">
    <vt:lpwstr/>
  </property>
</Properties>
</file>